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312" w:rsidRPr="00C72312" w:rsidRDefault="00C72312" w:rsidP="00C72312">
      <w:pPr>
        <w:shd w:val="clear" w:color="auto" w:fill="FFFFFF"/>
        <w:spacing w:after="0" w:line="240" w:lineRule="auto"/>
        <w:jc w:val="center"/>
        <w:rPr>
          <w:rFonts w:ascii="Helvetica" w:eastAsia="Times New Roman" w:hAnsi="Helvetica" w:cs="Helvetica"/>
          <w:color w:val="000000"/>
          <w:sz w:val="23"/>
          <w:szCs w:val="23"/>
          <w:lang w:eastAsia="ru-RU"/>
        </w:rPr>
      </w:pPr>
      <w:r w:rsidRPr="00C72312">
        <w:rPr>
          <w:rFonts w:ascii="Helvetica" w:eastAsia="Times New Roman" w:hAnsi="Helvetica" w:cs="Helvetica"/>
          <w:b/>
          <w:bCs/>
          <w:i/>
          <w:iCs/>
          <w:color w:val="000000"/>
          <w:sz w:val="23"/>
          <w:szCs w:val="23"/>
          <w:lang w:eastAsia="ru-RU"/>
        </w:rPr>
        <w:t>Проектная декларация</w:t>
      </w:r>
    </w:p>
    <w:p w:rsidR="00C72312" w:rsidRPr="00C72312" w:rsidRDefault="00C72312" w:rsidP="00C72312">
      <w:pPr>
        <w:shd w:val="clear" w:color="auto" w:fill="FFFFFF"/>
        <w:spacing w:after="0" w:line="240" w:lineRule="auto"/>
        <w:jc w:val="center"/>
        <w:rPr>
          <w:rFonts w:ascii="Helvetica" w:eastAsia="Times New Roman" w:hAnsi="Helvetica" w:cs="Helvetica"/>
          <w:color w:val="000000"/>
          <w:sz w:val="23"/>
          <w:szCs w:val="23"/>
          <w:lang w:eastAsia="ru-RU"/>
        </w:rPr>
      </w:pPr>
      <w:r w:rsidRPr="00C72312">
        <w:rPr>
          <w:rFonts w:ascii="Helvetica" w:eastAsia="Times New Roman" w:hAnsi="Helvetica" w:cs="Helvetica"/>
          <w:b/>
          <w:bCs/>
          <w:color w:val="000000"/>
          <w:sz w:val="23"/>
          <w:szCs w:val="23"/>
          <w:lang w:eastAsia="ru-RU"/>
        </w:rPr>
        <w:t>Общество с ограниченной ответственностью</w:t>
      </w:r>
    </w:p>
    <w:p w:rsidR="00C72312" w:rsidRPr="00C72312" w:rsidRDefault="00C72312" w:rsidP="00C72312">
      <w:pPr>
        <w:shd w:val="clear" w:color="auto" w:fill="FFFFFF"/>
        <w:spacing w:after="0" w:line="240" w:lineRule="auto"/>
        <w:jc w:val="center"/>
        <w:rPr>
          <w:rFonts w:ascii="Helvetica" w:eastAsia="Times New Roman" w:hAnsi="Helvetica" w:cs="Helvetica"/>
          <w:color w:val="000000"/>
          <w:sz w:val="23"/>
          <w:szCs w:val="23"/>
          <w:lang w:eastAsia="ru-RU"/>
        </w:rPr>
      </w:pPr>
      <w:r w:rsidRPr="00C72312">
        <w:rPr>
          <w:rFonts w:ascii="Helvetica" w:eastAsia="Times New Roman" w:hAnsi="Helvetica" w:cs="Helvetica"/>
          <w:b/>
          <w:bCs/>
          <w:color w:val="000000"/>
          <w:sz w:val="23"/>
          <w:szCs w:val="23"/>
          <w:lang w:eastAsia="ru-RU"/>
        </w:rPr>
        <w:t>«КОМПАНИЯ ПРОМСЕРВИС»</w:t>
      </w:r>
    </w:p>
    <w:p w:rsidR="00C72312" w:rsidRPr="00C72312" w:rsidRDefault="00C72312" w:rsidP="00C72312">
      <w:pPr>
        <w:shd w:val="clear" w:color="auto" w:fill="FFFFFF"/>
        <w:spacing w:after="0" w:line="240" w:lineRule="auto"/>
        <w:jc w:val="center"/>
        <w:rPr>
          <w:rFonts w:ascii="Helvetica" w:eastAsia="Times New Roman" w:hAnsi="Helvetica" w:cs="Helvetica"/>
          <w:color w:val="000000"/>
          <w:sz w:val="23"/>
          <w:szCs w:val="23"/>
          <w:lang w:eastAsia="ru-RU"/>
        </w:rPr>
      </w:pPr>
      <w:r w:rsidRPr="00C72312">
        <w:rPr>
          <w:rFonts w:ascii="Helvetica" w:eastAsia="Times New Roman" w:hAnsi="Helvetica" w:cs="Helvetica"/>
          <w:i/>
          <w:iCs/>
          <w:color w:val="000000"/>
          <w:sz w:val="23"/>
          <w:szCs w:val="23"/>
          <w:lang w:eastAsia="ru-RU"/>
        </w:rPr>
        <w:t>(с изменениями на 04.12.2017 год)</w:t>
      </w:r>
    </w:p>
    <w:p w:rsidR="00C72312" w:rsidRPr="00C72312" w:rsidRDefault="00C72312" w:rsidP="00C72312">
      <w:pPr>
        <w:shd w:val="clear" w:color="auto" w:fill="FFFFFF"/>
        <w:spacing w:after="225" w:line="240" w:lineRule="auto"/>
        <w:jc w:val="right"/>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г. Москва 04 декабря 2017 года</w:t>
      </w:r>
    </w:p>
    <w:p w:rsidR="00C72312" w:rsidRPr="00C72312" w:rsidRDefault="00C72312" w:rsidP="00C72312">
      <w:pPr>
        <w:shd w:val="clear" w:color="auto" w:fill="FFFFFF"/>
        <w:spacing w:after="225" w:line="240" w:lineRule="auto"/>
        <w:jc w:val="center"/>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Проектная декларация</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по строительству </w:t>
      </w:r>
      <w:r w:rsidRPr="00C72312">
        <w:rPr>
          <w:rFonts w:ascii="Helvetica" w:eastAsia="Times New Roman" w:hAnsi="Helvetica" w:cs="Helvetica"/>
          <w:b/>
          <w:bCs/>
          <w:color w:val="000000"/>
          <w:sz w:val="23"/>
          <w:szCs w:val="23"/>
          <w:lang w:eastAsia="ru-RU"/>
        </w:rPr>
        <w:t>3-х секционного 4-х этажного 90 квартирного жилого дома</w:t>
      </w:r>
      <w:r w:rsidRPr="00C72312">
        <w:rPr>
          <w:rFonts w:ascii="Helvetica" w:eastAsia="Times New Roman" w:hAnsi="Helvetica" w:cs="Helvetica"/>
          <w:color w:val="000000"/>
          <w:sz w:val="23"/>
          <w:szCs w:val="23"/>
          <w:lang w:eastAsia="ru-RU"/>
        </w:rPr>
        <w:t> (</w:t>
      </w:r>
      <w:r w:rsidRPr="00C72312">
        <w:rPr>
          <w:rFonts w:ascii="Helvetica" w:eastAsia="Times New Roman" w:hAnsi="Helvetica" w:cs="Helvetica"/>
          <w:b/>
          <w:bCs/>
          <w:color w:val="000000"/>
          <w:sz w:val="23"/>
          <w:szCs w:val="23"/>
          <w:lang w:eastAsia="ru-RU"/>
        </w:rPr>
        <w:t>Дом №24</w:t>
      </w:r>
      <w:r w:rsidRPr="00C72312">
        <w:rPr>
          <w:rFonts w:ascii="Helvetica" w:eastAsia="Times New Roman" w:hAnsi="Helvetica" w:cs="Helvetica"/>
          <w:color w:val="000000"/>
          <w:sz w:val="23"/>
          <w:szCs w:val="23"/>
          <w:lang w:eastAsia="ru-RU"/>
        </w:rPr>
        <w:t>) по адресу: Московская область, Истринский район, Ивановское сельское поселение, д. Высоково.</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(ЖК «Малая Истра»)</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b/>
          <w:bCs/>
          <w:color w:val="000000"/>
          <w:sz w:val="23"/>
          <w:szCs w:val="23"/>
          <w:lang w:eastAsia="ru-RU"/>
        </w:rPr>
        <w:t>Информация о Застройщике</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b/>
          <w:bCs/>
          <w:color w:val="000000"/>
          <w:sz w:val="23"/>
          <w:szCs w:val="23"/>
          <w:lang w:eastAsia="ru-RU"/>
        </w:rPr>
        <w:t>1. Застройщик: </w:t>
      </w:r>
      <w:r w:rsidRPr="00C72312">
        <w:rPr>
          <w:rFonts w:ascii="Helvetica" w:eastAsia="Times New Roman" w:hAnsi="Helvetica" w:cs="Helvetica"/>
          <w:color w:val="000000"/>
          <w:sz w:val="23"/>
          <w:szCs w:val="23"/>
          <w:lang w:eastAsia="ru-RU"/>
        </w:rPr>
        <w:t>Общество с ограниченной ответственностью «КОМПАНИЯ ПРОМСЕРВИС», (сокращенное наименование Общества - ООО «КОМПАНИЯ ПРОМСЕРВИС»).</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b/>
          <w:bCs/>
          <w:color w:val="000000"/>
          <w:sz w:val="23"/>
          <w:szCs w:val="23"/>
          <w:lang w:eastAsia="ru-RU"/>
        </w:rPr>
        <w:t>1.1. Юридический адрес Застройщика: </w:t>
      </w:r>
      <w:r w:rsidRPr="00C72312">
        <w:rPr>
          <w:rFonts w:ascii="Helvetica" w:eastAsia="Times New Roman" w:hAnsi="Helvetica" w:cs="Helvetica"/>
          <w:color w:val="000000"/>
          <w:sz w:val="23"/>
          <w:szCs w:val="23"/>
          <w:lang w:eastAsia="ru-RU"/>
        </w:rPr>
        <w:t>117556, г. Москва, Варшавское шоссе, д.75, корп.1</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b/>
          <w:bCs/>
          <w:color w:val="000000"/>
          <w:sz w:val="23"/>
          <w:szCs w:val="23"/>
          <w:lang w:eastAsia="ru-RU"/>
        </w:rPr>
        <w:t>1.2. Место нахождения Застройщика</w:t>
      </w:r>
      <w:r w:rsidRPr="00C72312">
        <w:rPr>
          <w:rFonts w:ascii="Helvetica" w:eastAsia="Times New Roman" w:hAnsi="Helvetica" w:cs="Helvetica"/>
          <w:color w:val="000000"/>
          <w:sz w:val="23"/>
          <w:szCs w:val="23"/>
          <w:lang w:eastAsia="ru-RU"/>
        </w:rPr>
        <w:t>: 129110, г. Москва, ул. Гиляровского, д.47, стр.5.</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b/>
          <w:bCs/>
          <w:color w:val="000000"/>
          <w:sz w:val="23"/>
          <w:szCs w:val="23"/>
          <w:lang w:eastAsia="ru-RU"/>
        </w:rPr>
        <w:t>1.3. Режим работы Застройщика: </w:t>
      </w:r>
      <w:r w:rsidRPr="00C72312">
        <w:rPr>
          <w:rFonts w:ascii="Helvetica" w:eastAsia="Times New Roman" w:hAnsi="Helvetica" w:cs="Helvetica"/>
          <w:color w:val="000000"/>
          <w:sz w:val="23"/>
          <w:szCs w:val="23"/>
          <w:lang w:eastAsia="ru-RU"/>
        </w:rPr>
        <w:t>с 9.00 до 18.00 по будням. Обед с 13.00 до 14.00. Суббота и воскресенье выходные. Телефон +7(495) 730-52-90, +7(495) 540-50-92.</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b/>
          <w:bCs/>
          <w:color w:val="000000"/>
          <w:sz w:val="23"/>
          <w:szCs w:val="23"/>
          <w:lang w:eastAsia="ru-RU"/>
        </w:rPr>
        <w:t>2. Информация о государственной регистрации Застройщика:</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b/>
          <w:bCs/>
          <w:color w:val="000000"/>
          <w:sz w:val="23"/>
          <w:szCs w:val="23"/>
          <w:lang w:eastAsia="ru-RU"/>
        </w:rPr>
        <w:t>3. Информация об учредителях (участниках) Застройщика:</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b/>
          <w:bCs/>
          <w:color w:val="000000"/>
          <w:sz w:val="23"/>
          <w:szCs w:val="23"/>
          <w:lang w:eastAsia="ru-RU"/>
        </w:rPr>
        <w:t>3.1. </w:t>
      </w:r>
      <w:r w:rsidRPr="00C72312">
        <w:rPr>
          <w:rFonts w:ascii="Helvetica" w:eastAsia="Times New Roman" w:hAnsi="Helvetica" w:cs="Helvetica"/>
          <w:color w:val="000000"/>
          <w:sz w:val="23"/>
          <w:szCs w:val="23"/>
          <w:lang w:eastAsia="ru-RU"/>
        </w:rPr>
        <w:t>Федотов Илья Михайлович – 51%.</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b/>
          <w:bCs/>
          <w:color w:val="000000"/>
          <w:sz w:val="23"/>
          <w:szCs w:val="23"/>
          <w:lang w:eastAsia="ru-RU"/>
        </w:rPr>
        <w:t>3.2. </w:t>
      </w:r>
      <w:r w:rsidRPr="00C72312">
        <w:rPr>
          <w:rFonts w:ascii="Helvetica" w:eastAsia="Times New Roman" w:hAnsi="Helvetica" w:cs="Helvetica"/>
          <w:color w:val="000000"/>
          <w:sz w:val="23"/>
          <w:szCs w:val="23"/>
          <w:lang w:eastAsia="ru-RU"/>
        </w:rPr>
        <w:t>Челидзе Эльдар Джумберович– 49%.</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b/>
          <w:bCs/>
          <w:color w:val="000000"/>
          <w:sz w:val="23"/>
          <w:szCs w:val="23"/>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Введен в эксплуатацию 29.12.2016 г.,</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Введен в эксплуатацию 20.06.2017г.</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lastRenderedPageBreak/>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20.06.2017г.,</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Введен в эксплуатацию 04.10.2017 г.</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3-х секционный 4-х этажный 90 квартирный жилой дом (Дом №17), № RU 50504304-219 от 26 августа 2014 года, выдано: Администрацией Истринского муниципального района.</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lastRenderedPageBreak/>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3-х секционного 4-х этажного 90 квартирного жилого дома (Дом №27), Разрешение на строительство № RU 50504304-250 от 30 сентября 2014 года, выдано: Администрацией Истринского муниципального района.</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b/>
          <w:bCs/>
          <w:color w:val="000000"/>
          <w:sz w:val="23"/>
          <w:szCs w:val="23"/>
          <w:lang w:eastAsia="ru-RU"/>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Общество с ограниченной ответственностью «КОМПАНИЯ ПРОМСЕРВИС»</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b/>
          <w:bCs/>
          <w:color w:val="000000"/>
          <w:sz w:val="23"/>
          <w:szCs w:val="23"/>
          <w:lang w:eastAsia="ru-RU"/>
        </w:rPr>
        <w:t>6. Финансово-экономическое состояние Застройщика на 30.09.2017 г.</w:t>
      </w:r>
    </w:p>
    <w:tbl>
      <w:tblPr>
        <w:tblW w:w="0" w:type="auto"/>
        <w:shd w:val="clear" w:color="auto" w:fill="FFFFFF"/>
        <w:tblCellMar>
          <w:left w:w="0" w:type="dxa"/>
          <w:right w:w="0" w:type="dxa"/>
        </w:tblCellMar>
        <w:tblLook w:val="04A0" w:firstRow="1" w:lastRow="0" w:firstColumn="1" w:lastColumn="0" w:noHBand="0" w:noVBand="1"/>
      </w:tblPr>
      <w:tblGrid>
        <w:gridCol w:w="4024"/>
        <w:gridCol w:w="2174"/>
      </w:tblGrid>
      <w:tr w:rsidR="00C72312" w:rsidRPr="00C72312" w:rsidTr="00C72312">
        <w:tc>
          <w:tcPr>
            <w:tcW w:w="0" w:type="auto"/>
            <w:shd w:val="clear" w:color="auto" w:fill="FFFFFF"/>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Финансовый результат</w:t>
            </w:r>
          </w:p>
        </w:tc>
        <w:tc>
          <w:tcPr>
            <w:tcW w:w="0" w:type="auto"/>
            <w:shd w:val="clear" w:color="auto" w:fill="FFFFFF"/>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3 401 тыс. рублей</w:t>
            </w:r>
          </w:p>
        </w:tc>
      </w:tr>
      <w:tr w:rsidR="00C72312" w:rsidRPr="00C72312" w:rsidTr="00C72312">
        <w:tc>
          <w:tcPr>
            <w:tcW w:w="0" w:type="auto"/>
            <w:shd w:val="clear" w:color="auto" w:fill="FFFFFF"/>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lastRenderedPageBreak/>
              <w:t>Размер кредиторской задолженности</w:t>
            </w:r>
          </w:p>
        </w:tc>
        <w:tc>
          <w:tcPr>
            <w:tcW w:w="0" w:type="auto"/>
            <w:shd w:val="clear" w:color="auto" w:fill="FFFFFF"/>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326 346 тыс. рублей</w:t>
            </w:r>
          </w:p>
        </w:tc>
      </w:tr>
      <w:tr w:rsidR="00C72312" w:rsidRPr="00C72312" w:rsidTr="00C72312">
        <w:tc>
          <w:tcPr>
            <w:tcW w:w="0" w:type="auto"/>
            <w:shd w:val="clear" w:color="auto" w:fill="FFFFFF"/>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Размер дебиторской задолженности</w:t>
            </w:r>
          </w:p>
        </w:tc>
        <w:tc>
          <w:tcPr>
            <w:tcW w:w="0" w:type="auto"/>
            <w:shd w:val="clear" w:color="auto" w:fill="FFFFFF"/>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726 162 тыс. рублей</w:t>
            </w:r>
          </w:p>
        </w:tc>
      </w:tr>
    </w:tbl>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b/>
          <w:bCs/>
          <w:color w:val="000000"/>
          <w:sz w:val="23"/>
          <w:szCs w:val="23"/>
          <w:lang w:eastAsia="ru-RU"/>
        </w:rPr>
        <w:t>Информация о проекте строительства.</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b/>
          <w:bCs/>
          <w:color w:val="000000"/>
          <w:sz w:val="23"/>
          <w:szCs w:val="23"/>
          <w:lang w:eastAsia="ru-RU"/>
        </w:rPr>
        <w:t>1. Цель проекта строительства:</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Строительство </w:t>
      </w:r>
      <w:r w:rsidRPr="00C72312">
        <w:rPr>
          <w:rFonts w:ascii="Helvetica" w:eastAsia="Times New Roman" w:hAnsi="Helvetica" w:cs="Helvetica"/>
          <w:b/>
          <w:bCs/>
          <w:color w:val="000000"/>
          <w:sz w:val="23"/>
          <w:szCs w:val="23"/>
          <w:lang w:eastAsia="ru-RU"/>
        </w:rPr>
        <w:t>3-х секционного 4-х этажного 90 квартирного жилого дома</w:t>
      </w:r>
      <w:r w:rsidRPr="00C72312">
        <w:rPr>
          <w:rFonts w:ascii="Helvetica" w:eastAsia="Times New Roman" w:hAnsi="Helvetica" w:cs="Helvetica"/>
          <w:color w:val="000000"/>
          <w:sz w:val="23"/>
          <w:szCs w:val="23"/>
          <w:lang w:eastAsia="ru-RU"/>
        </w:rPr>
        <w:t> (</w:t>
      </w:r>
      <w:r w:rsidRPr="00C72312">
        <w:rPr>
          <w:rFonts w:ascii="Helvetica" w:eastAsia="Times New Roman" w:hAnsi="Helvetica" w:cs="Helvetica"/>
          <w:b/>
          <w:bCs/>
          <w:color w:val="000000"/>
          <w:sz w:val="23"/>
          <w:szCs w:val="23"/>
          <w:lang w:eastAsia="ru-RU"/>
        </w:rPr>
        <w:t>Дом №24</w:t>
      </w:r>
      <w:r w:rsidRPr="00C72312">
        <w:rPr>
          <w:rFonts w:ascii="Helvetica" w:eastAsia="Times New Roman" w:hAnsi="Helvetica" w:cs="Helvetica"/>
          <w:color w:val="000000"/>
          <w:sz w:val="23"/>
          <w:szCs w:val="23"/>
          <w:lang w:eastAsia="ru-RU"/>
        </w:rPr>
        <w:t>) по адресу: Московская область, Истринский район, Ивановское сельское поселение, д. Высоково. Коммерческое наименование: Жилой Комплекс «Малая Истра».</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Этапы строительства.</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Начало строительства: IV квартал2014 г.</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Окончание строительства: 30.03.2018 г.</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Результаты проведения государственной экспертизы проектной документации:</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Положительное заключение негосударственной экспертизы 77-1-2-0060-14 выдано 04 августа 2014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w:t>
      </w:r>
      <w:r w:rsidRPr="00C72312">
        <w:rPr>
          <w:rFonts w:ascii="Helvetica" w:eastAsia="Times New Roman" w:hAnsi="Helvetica" w:cs="Helvetica"/>
          <w:b/>
          <w:bCs/>
          <w:color w:val="000000"/>
          <w:sz w:val="23"/>
          <w:szCs w:val="23"/>
          <w:lang w:eastAsia="ru-RU"/>
        </w:rPr>
        <w:t>3-х секционный 4-х этажный жилой дом</w:t>
      </w:r>
      <w:r w:rsidRPr="00C72312">
        <w:rPr>
          <w:rFonts w:ascii="Helvetica" w:eastAsia="Times New Roman" w:hAnsi="Helvetica" w:cs="Helvetica"/>
          <w:color w:val="000000"/>
          <w:sz w:val="23"/>
          <w:szCs w:val="23"/>
          <w:lang w:eastAsia="ru-RU"/>
        </w:rPr>
        <w:t> (</w:t>
      </w:r>
      <w:r w:rsidRPr="00C72312">
        <w:rPr>
          <w:rFonts w:ascii="Helvetica" w:eastAsia="Times New Roman" w:hAnsi="Helvetica" w:cs="Helvetica"/>
          <w:b/>
          <w:bCs/>
          <w:color w:val="000000"/>
          <w:sz w:val="23"/>
          <w:szCs w:val="23"/>
          <w:lang w:eastAsia="ru-RU"/>
        </w:rPr>
        <w:t>Дом №24</w:t>
      </w:r>
      <w:r w:rsidRPr="00C72312">
        <w:rPr>
          <w:rFonts w:ascii="Helvetica" w:eastAsia="Times New Roman" w:hAnsi="Helvetica" w:cs="Helvetica"/>
          <w:color w:val="000000"/>
          <w:sz w:val="23"/>
          <w:szCs w:val="23"/>
          <w:lang w:eastAsia="ru-RU"/>
        </w:rPr>
        <w:t>) по адресу: Московская область, Истринский район, с/пос Ивановское, вблизи д. Высоково».</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b/>
          <w:bCs/>
          <w:color w:val="000000"/>
          <w:sz w:val="23"/>
          <w:szCs w:val="23"/>
          <w:lang w:eastAsia="ru-RU"/>
        </w:rPr>
        <w:t>2. Информация о разрешении на строительство:</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Разрешение на строительство № RU 50504304-218 от 26 августа 2014 года, выдано: Администрацией Истринского муниципального района.</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Срок действия разрешения на строительство до 30.03.2018 года.</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b/>
          <w:bCs/>
          <w:color w:val="000000"/>
          <w:sz w:val="23"/>
          <w:szCs w:val="23"/>
          <w:lang w:eastAsia="ru-RU"/>
        </w:rPr>
        <w:t>3. Права Застройщика на земельный участок:</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b/>
          <w:bCs/>
          <w:color w:val="000000"/>
          <w:sz w:val="23"/>
          <w:szCs w:val="23"/>
          <w:lang w:eastAsia="ru-RU"/>
        </w:rPr>
        <w:t>3.1. Земельный участок под строительство 3-х секционного 4-х этажного 90 квартирного жилого дома</w:t>
      </w:r>
      <w:r w:rsidRPr="00C72312">
        <w:rPr>
          <w:rFonts w:ascii="Helvetica" w:eastAsia="Times New Roman" w:hAnsi="Helvetica" w:cs="Helvetica"/>
          <w:color w:val="000000"/>
          <w:sz w:val="23"/>
          <w:szCs w:val="23"/>
          <w:lang w:eastAsia="ru-RU"/>
        </w:rPr>
        <w:t> (</w:t>
      </w:r>
      <w:r w:rsidRPr="00C72312">
        <w:rPr>
          <w:rFonts w:ascii="Helvetica" w:eastAsia="Times New Roman" w:hAnsi="Helvetica" w:cs="Helvetica"/>
          <w:b/>
          <w:bCs/>
          <w:color w:val="000000"/>
          <w:sz w:val="23"/>
          <w:szCs w:val="23"/>
          <w:lang w:eastAsia="ru-RU"/>
        </w:rPr>
        <w:t>Дом №24</w:t>
      </w:r>
      <w:r w:rsidRPr="00C72312">
        <w:rPr>
          <w:rFonts w:ascii="Helvetica" w:eastAsia="Times New Roman" w:hAnsi="Helvetica" w:cs="Helvetica"/>
          <w:color w:val="000000"/>
          <w:sz w:val="23"/>
          <w:szCs w:val="23"/>
          <w:lang w:eastAsia="ru-RU"/>
        </w:rPr>
        <w:t>) </w:t>
      </w:r>
      <w:r w:rsidRPr="00C72312">
        <w:rPr>
          <w:rFonts w:ascii="Helvetica" w:eastAsia="Times New Roman" w:hAnsi="Helvetica" w:cs="Helvetica"/>
          <w:b/>
          <w:bCs/>
          <w:color w:val="000000"/>
          <w:sz w:val="23"/>
          <w:szCs w:val="23"/>
          <w:lang w:eastAsia="ru-RU"/>
        </w:rPr>
        <w:t>принадлежит Обществу с ограниченной ответственностью «КОМПАНИЯ ПРОМСЕРВИС» на следующих основаниях:</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Земельный участок площадью 3702 (Три тысячи семьсот два) кв.м. с кадастровым номером №50:08:0040140:351, расположен по адресу: Московская область, Истринский район, с/пос. Ивановское, вблизи д. Высоково.</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Собственник земельного участка: Федеральный фонд содействия развитию жилищного строительства (Фонд «РЖС»), ИНН: 7709441907, ОГРН: 1087799030846.</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b/>
          <w:bCs/>
          <w:color w:val="000000"/>
          <w:sz w:val="23"/>
          <w:szCs w:val="23"/>
          <w:lang w:eastAsia="ru-RU"/>
        </w:rPr>
        <w:lastRenderedPageBreak/>
        <w:t>3.2. Границы участка под строительство 3-х секционного 4-х этажного 90 квартирного жилого дома</w:t>
      </w:r>
      <w:r w:rsidRPr="00C72312">
        <w:rPr>
          <w:rFonts w:ascii="Helvetica" w:eastAsia="Times New Roman" w:hAnsi="Helvetica" w:cs="Helvetica"/>
          <w:color w:val="000000"/>
          <w:sz w:val="23"/>
          <w:szCs w:val="23"/>
          <w:lang w:eastAsia="ru-RU"/>
        </w:rPr>
        <w:t> (</w:t>
      </w:r>
      <w:r w:rsidRPr="00C72312">
        <w:rPr>
          <w:rFonts w:ascii="Helvetica" w:eastAsia="Times New Roman" w:hAnsi="Helvetica" w:cs="Helvetica"/>
          <w:b/>
          <w:bCs/>
          <w:color w:val="000000"/>
          <w:sz w:val="23"/>
          <w:szCs w:val="23"/>
          <w:lang w:eastAsia="ru-RU"/>
        </w:rPr>
        <w:t>Дом №24</w:t>
      </w:r>
      <w:r w:rsidRPr="00C72312">
        <w:rPr>
          <w:rFonts w:ascii="Helvetica" w:eastAsia="Times New Roman" w:hAnsi="Helvetica" w:cs="Helvetica"/>
          <w:color w:val="000000"/>
          <w:sz w:val="23"/>
          <w:szCs w:val="23"/>
          <w:lang w:eastAsia="ru-RU"/>
        </w:rPr>
        <w:t>)</w:t>
      </w:r>
      <w:r w:rsidRPr="00C72312">
        <w:rPr>
          <w:rFonts w:ascii="Helvetica" w:eastAsia="Times New Roman" w:hAnsi="Helvetica" w:cs="Helvetica"/>
          <w:b/>
          <w:bCs/>
          <w:color w:val="000000"/>
          <w:sz w:val="23"/>
          <w:szCs w:val="23"/>
          <w:lang w:eastAsia="ru-RU"/>
        </w:rPr>
        <w:t>:</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Участок находится в восточной части проектируемого жилого комплекса и имеет границами дорожные проезды проектируемого жилого комплекса и далее проектируемую среднеэтажную жилую застройку.</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b/>
          <w:bCs/>
          <w:color w:val="000000"/>
          <w:sz w:val="23"/>
          <w:szCs w:val="23"/>
          <w:lang w:eastAsia="ru-RU"/>
        </w:rPr>
        <w:t>3.3. Элементы благоустройства:</w:t>
      </w:r>
      <w:r w:rsidRPr="00C72312">
        <w:rPr>
          <w:rFonts w:ascii="Helvetica" w:eastAsia="Times New Roman" w:hAnsi="Helvetica" w:cs="Helvetica"/>
          <w:color w:val="000000"/>
          <w:sz w:val="23"/>
          <w:szCs w:val="23"/>
          <w:lang w:eastAsia="ru-RU"/>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Предусмотрена организация открытых автомобильных стоянок (временного и постоянного хранения).</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b/>
          <w:bCs/>
          <w:color w:val="000000"/>
          <w:sz w:val="23"/>
          <w:szCs w:val="23"/>
          <w:lang w:eastAsia="ru-RU"/>
        </w:rPr>
        <w:t>4. Местоположение строящегося объекта капитального строительства:</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Строящийся объект капитального строительства </w:t>
      </w:r>
      <w:r w:rsidRPr="00C72312">
        <w:rPr>
          <w:rFonts w:ascii="Helvetica" w:eastAsia="Times New Roman" w:hAnsi="Helvetica" w:cs="Helvetica"/>
          <w:b/>
          <w:bCs/>
          <w:color w:val="000000"/>
          <w:sz w:val="23"/>
          <w:szCs w:val="23"/>
          <w:lang w:eastAsia="ru-RU"/>
        </w:rPr>
        <w:t>3-х секционный 4-х этажный 90 квартирный жилой дом</w:t>
      </w:r>
      <w:r w:rsidRPr="00C72312">
        <w:rPr>
          <w:rFonts w:ascii="Helvetica" w:eastAsia="Times New Roman" w:hAnsi="Helvetica" w:cs="Helvetica"/>
          <w:color w:val="000000"/>
          <w:sz w:val="23"/>
          <w:szCs w:val="23"/>
          <w:lang w:eastAsia="ru-RU"/>
        </w:rPr>
        <w:t> (</w:t>
      </w:r>
      <w:r w:rsidRPr="00C72312">
        <w:rPr>
          <w:rFonts w:ascii="Helvetica" w:eastAsia="Times New Roman" w:hAnsi="Helvetica" w:cs="Helvetica"/>
          <w:b/>
          <w:bCs/>
          <w:color w:val="000000"/>
          <w:sz w:val="23"/>
          <w:szCs w:val="23"/>
          <w:lang w:eastAsia="ru-RU"/>
        </w:rPr>
        <w:t>Дом №24</w:t>
      </w:r>
      <w:r w:rsidRPr="00C72312">
        <w:rPr>
          <w:rFonts w:ascii="Helvetica" w:eastAsia="Times New Roman" w:hAnsi="Helvetica" w:cs="Helvetica"/>
          <w:color w:val="000000"/>
          <w:sz w:val="23"/>
          <w:szCs w:val="23"/>
          <w:lang w:eastAsia="ru-RU"/>
        </w:rPr>
        <w:t>)расположен по адресу: Московская область, Истринский район, с/пос. Ивановское, вблизи д. Высоково.</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b/>
          <w:bCs/>
          <w:color w:val="000000"/>
          <w:sz w:val="23"/>
          <w:szCs w:val="23"/>
          <w:lang w:eastAsia="ru-RU"/>
        </w:rPr>
        <w:t>5. Количество в составе строящегося 3-х секционного 4-х этажного 90 квартирного жилого дома</w:t>
      </w:r>
      <w:r w:rsidRPr="00C72312">
        <w:rPr>
          <w:rFonts w:ascii="Helvetica" w:eastAsia="Times New Roman" w:hAnsi="Helvetica" w:cs="Helvetica"/>
          <w:color w:val="000000"/>
          <w:sz w:val="23"/>
          <w:szCs w:val="23"/>
          <w:lang w:eastAsia="ru-RU"/>
        </w:rPr>
        <w:t> (</w:t>
      </w:r>
      <w:r w:rsidRPr="00C72312">
        <w:rPr>
          <w:rFonts w:ascii="Helvetica" w:eastAsia="Times New Roman" w:hAnsi="Helvetica" w:cs="Helvetica"/>
          <w:b/>
          <w:bCs/>
          <w:color w:val="000000"/>
          <w:sz w:val="23"/>
          <w:szCs w:val="23"/>
          <w:lang w:eastAsia="ru-RU"/>
        </w:rPr>
        <w:t>Дом №24</w:t>
      </w:r>
      <w:r w:rsidRPr="00C72312">
        <w:rPr>
          <w:rFonts w:ascii="Helvetica" w:eastAsia="Times New Roman" w:hAnsi="Helvetica" w:cs="Helvetica"/>
          <w:color w:val="000000"/>
          <w:sz w:val="23"/>
          <w:szCs w:val="23"/>
          <w:lang w:eastAsia="ru-RU"/>
        </w:rPr>
        <w:t>)</w:t>
      </w:r>
      <w:r w:rsidRPr="00C72312">
        <w:rPr>
          <w:rFonts w:ascii="Helvetica" w:eastAsia="Times New Roman" w:hAnsi="Helvetica" w:cs="Helvetica"/>
          <w:b/>
          <w:bCs/>
          <w:color w:val="000000"/>
          <w:sz w:val="23"/>
          <w:szCs w:val="23"/>
          <w:lang w:eastAsia="ru-RU"/>
        </w:rPr>
        <w:t> 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Всего 90 квартир общей площадью 4478,7 кв.м.</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Из них:</w:t>
      </w:r>
    </w:p>
    <w:tbl>
      <w:tblPr>
        <w:tblW w:w="0" w:type="auto"/>
        <w:shd w:val="clear" w:color="auto" w:fill="FFFFFF"/>
        <w:tblCellMar>
          <w:left w:w="0" w:type="dxa"/>
          <w:right w:w="0" w:type="dxa"/>
        </w:tblCellMar>
        <w:tblLook w:val="04A0" w:firstRow="1" w:lastRow="0" w:firstColumn="1" w:lastColumn="0" w:noHBand="0" w:noVBand="1"/>
      </w:tblPr>
      <w:tblGrid>
        <w:gridCol w:w="3810"/>
        <w:gridCol w:w="448"/>
        <w:gridCol w:w="128"/>
        <w:gridCol w:w="1006"/>
      </w:tblGrid>
      <w:tr w:rsidR="00C72312" w:rsidRPr="00C72312" w:rsidTr="00C72312">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42,9</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квартиры</w:t>
            </w:r>
          </w:p>
        </w:tc>
      </w:tr>
      <w:tr w:rsidR="00C72312" w:rsidRPr="00C72312" w:rsidTr="00C72312">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43</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квартира</w:t>
            </w:r>
          </w:p>
        </w:tc>
      </w:tr>
      <w:tr w:rsidR="00C72312" w:rsidRPr="00C72312" w:rsidTr="00C72312">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44,8</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квартиры</w:t>
            </w:r>
          </w:p>
        </w:tc>
      </w:tr>
      <w:tr w:rsidR="00C72312" w:rsidRPr="00C72312" w:rsidTr="00C72312">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45</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квартира</w:t>
            </w:r>
          </w:p>
        </w:tc>
      </w:tr>
      <w:tr w:rsidR="00C72312" w:rsidRPr="00C72312" w:rsidTr="00C72312">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46,8</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квартиры</w:t>
            </w:r>
          </w:p>
        </w:tc>
      </w:tr>
      <w:tr w:rsidR="00C72312" w:rsidRPr="00C72312" w:rsidTr="00C72312">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47,7</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квартиры</w:t>
            </w:r>
          </w:p>
        </w:tc>
      </w:tr>
      <w:tr w:rsidR="00C72312" w:rsidRPr="00C72312" w:rsidTr="00C72312">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51,8</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квартира</w:t>
            </w:r>
          </w:p>
        </w:tc>
      </w:tr>
      <w:tr w:rsidR="00C72312" w:rsidRPr="00C72312" w:rsidTr="00C72312">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51,9</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квартира</w:t>
            </w:r>
          </w:p>
        </w:tc>
      </w:tr>
      <w:tr w:rsidR="00C72312" w:rsidRPr="00C72312" w:rsidTr="00C72312">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30,1</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квартиры</w:t>
            </w:r>
          </w:p>
        </w:tc>
      </w:tr>
      <w:tr w:rsidR="00C72312" w:rsidRPr="00C72312" w:rsidTr="00C72312">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31,3</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квартиры</w:t>
            </w:r>
          </w:p>
        </w:tc>
      </w:tr>
      <w:tr w:rsidR="00C72312" w:rsidRPr="00C72312" w:rsidTr="00C72312">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31,5</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квартира</w:t>
            </w:r>
          </w:p>
        </w:tc>
      </w:tr>
      <w:tr w:rsidR="00C72312" w:rsidRPr="00C72312" w:rsidTr="00C72312">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32,7</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6</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квартиры</w:t>
            </w:r>
          </w:p>
        </w:tc>
      </w:tr>
      <w:tr w:rsidR="00C72312" w:rsidRPr="00C72312" w:rsidTr="00C72312">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32,9</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5</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квартиры</w:t>
            </w:r>
          </w:p>
        </w:tc>
      </w:tr>
      <w:tr w:rsidR="00C72312" w:rsidRPr="00C72312" w:rsidTr="00C72312">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33,7</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квартира</w:t>
            </w:r>
          </w:p>
        </w:tc>
      </w:tr>
      <w:tr w:rsidR="00C72312" w:rsidRPr="00C72312" w:rsidTr="00C72312">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38</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квартира</w:t>
            </w:r>
          </w:p>
        </w:tc>
      </w:tr>
      <w:tr w:rsidR="00C72312" w:rsidRPr="00C72312" w:rsidTr="00C72312">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38,2</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квартиры</w:t>
            </w:r>
          </w:p>
        </w:tc>
      </w:tr>
      <w:tr w:rsidR="00C72312" w:rsidRPr="00C72312" w:rsidTr="00C72312">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lastRenderedPageBreak/>
              <w:t>двухкомнатных площадью</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50,9</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квартиры</w:t>
            </w:r>
          </w:p>
        </w:tc>
      </w:tr>
      <w:tr w:rsidR="00C72312" w:rsidRPr="00C72312" w:rsidTr="00C72312">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51</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4</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квартиры</w:t>
            </w:r>
          </w:p>
        </w:tc>
      </w:tr>
      <w:tr w:rsidR="00C72312" w:rsidRPr="00C72312" w:rsidTr="00C72312">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51,2</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квартира</w:t>
            </w:r>
          </w:p>
        </w:tc>
      </w:tr>
      <w:tr w:rsidR="00C72312" w:rsidRPr="00C72312" w:rsidTr="00C72312">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51,4</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квартиры</w:t>
            </w:r>
          </w:p>
        </w:tc>
      </w:tr>
      <w:tr w:rsidR="00C72312" w:rsidRPr="00C72312" w:rsidTr="00C72312">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51,5</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2</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квартиры</w:t>
            </w:r>
          </w:p>
        </w:tc>
      </w:tr>
      <w:tr w:rsidR="00C72312" w:rsidRPr="00C72312" w:rsidTr="00C72312">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52,7</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квартиры</w:t>
            </w:r>
          </w:p>
        </w:tc>
      </w:tr>
      <w:tr w:rsidR="00C72312" w:rsidRPr="00C72312" w:rsidTr="00C72312">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56,7</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квартира</w:t>
            </w:r>
          </w:p>
        </w:tc>
      </w:tr>
      <w:tr w:rsidR="00C72312" w:rsidRPr="00C72312" w:rsidTr="00C72312">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56,8</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квартиры</w:t>
            </w:r>
          </w:p>
        </w:tc>
      </w:tr>
      <w:tr w:rsidR="00C72312" w:rsidRPr="00C72312" w:rsidTr="00C72312">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56,9</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квартиры</w:t>
            </w:r>
          </w:p>
        </w:tc>
      </w:tr>
      <w:tr w:rsidR="00C72312" w:rsidRPr="00C72312" w:rsidTr="00C72312">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57,1</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квартиры</w:t>
            </w:r>
          </w:p>
        </w:tc>
      </w:tr>
      <w:tr w:rsidR="00C72312" w:rsidRPr="00C72312" w:rsidTr="00C72312">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57,2</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квартира</w:t>
            </w:r>
          </w:p>
        </w:tc>
      </w:tr>
      <w:tr w:rsidR="00C72312" w:rsidRPr="00C72312" w:rsidTr="00C72312">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57,3</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квартира</w:t>
            </w:r>
          </w:p>
        </w:tc>
      </w:tr>
      <w:tr w:rsidR="00C72312" w:rsidRPr="00C72312" w:rsidTr="00C72312">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58,4</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квартиры</w:t>
            </w:r>
          </w:p>
        </w:tc>
      </w:tr>
      <w:tr w:rsidR="00C72312" w:rsidRPr="00C72312" w:rsidTr="00C72312">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59</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квартиры</w:t>
            </w:r>
          </w:p>
        </w:tc>
      </w:tr>
      <w:tr w:rsidR="00C72312" w:rsidRPr="00C72312" w:rsidTr="00C72312">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59,3</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квартира</w:t>
            </w:r>
          </w:p>
        </w:tc>
      </w:tr>
      <w:tr w:rsidR="00C72312" w:rsidRPr="00C72312" w:rsidTr="00C72312">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63,8</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квартиры</w:t>
            </w:r>
          </w:p>
        </w:tc>
      </w:tr>
      <w:tr w:rsidR="00C72312" w:rsidRPr="00C72312" w:rsidTr="00C72312">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63,9</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квартира</w:t>
            </w:r>
          </w:p>
        </w:tc>
      </w:tr>
      <w:tr w:rsidR="00C72312" w:rsidRPr="00C72312" w:rsidTr="00C72312">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65,1</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квартира</w:t>
            </w:r>
          </w:p>
        </w:tc>
      </w:tr>
      <w:tr w:rsidR="00C72312" w:rsidRPr="00C72312" w:rsidTr="00C72312">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67,1</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6</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квартиры</w:t>
            </w:r>
          </w:p>
        </w:tc>
      </w:tr>
      <w:tr w:rsidR="00C72312" w:rsidRPr="00C72312" w:rsidTr="00C72312">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67,2</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квартиры</w:t>
            </w:r>
          </w:p>
        </w:tc>
      </w:tr>
      <w:tr w:rsidR="00C72312" w:rsidRPr="00C72312" w:rsidTr="00C72312">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67,4</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2</w:t>
            </w:r>
          </w:p>
        </w:tc>
        <w:tc>
          <w:tcPr>
            <w:tcW w:w="0" w:type="auto"/>
            <w:shd w:val="clear" w:color="auto" w:fill="FFFFFF"/>
            <w:vAlign w:val="bottom"/>
            <w:hideMark/>
          </w:tcPr>
          <w:p w:rsidR="00C72312" w:rsidRPr="00C72312" w:rsidRDefault="00C72312" w:rsidP="00C72312">
            <w:pPr>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квартиры</w:t>
            </w:r>
          </w:p>
        </w:tc>
      </w:tr>
    </w:tbl>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b/>
          <w:bCs/>
          <w:color w:val="000000"/>
          <w:sz w:val="23"/>
          <w:szCs w:val="23"/>
          <w:lang w:eastAsia="ru-RU"/>
        </w:rPr>
        <w:t>6. Состав общего имущества в 3-х секционного 4-х этажного 90 квартирного жилого дома</w:t>
      </w:r>
      <w:r w:rsidRPr="00C72312">
        <w:rPr>
          <w:rFonts w:ascii="Helvetica" w:eastAsia="Times New Roman" w:hAnsi="Helvetica" w:cs="Helvetica"/>
          <w:color w:val="000000"/>
          <w:sz w:val="23"/>
          <w:szCs w:val="23"/>
          <w:lang w:eastAsia="ru-RU"/>
        </w:rPr>
        <w:t> (</w:t>
      </w:r>
      <w:r w:rsidRPr="00C72312">
        <w:rPr>
          <w:rFonts w:ascii="Helvetica" w:eastAsia="Times New Roman" w:hAnsi="Helvetica" w:cs="Helvetica"/>
          <w:b/>
          <w:bCs/>
          <w:color w:val="000000"/>
          <w:sz w:val="23"/>
          <w:szCs w:val="23"/>
          <w:lang w:eastAsia="ru-RU"/>
        </w:rPr>
        <w:t>Дом №24</w:t>
      </w:r>
      <w:r w:rsidRPr="00C72312">
        <w:rPr>
          <w:rFonts w:ascii="Helvetica" w:eastAsia="Times New Roman" w:hAnsi="Helvetica" w:cs="Helvetica"/>
          <w:color w:val="000000"/>
          <w:sz w:val="23"/>
          <w:szCs w:val="23"/>
          <w:lang w:eastAsia="ru-RU"/>
        </w:rPr>
        <w:t>)</w:t>
      </w:r>
      <w:r w:rsidRPr="00C72312">
        <w:rPr>
          <w:rFonts w:ascii="Helvetica" w:eastAsia="Times New Roman" w:hAnsi="Helvetica" w:cs="Helvetica"/>
          <w:b/>
          <w:bCs/>
          <w:color w:val="000000"/>
          <w:sz w:val="23"/>
          <w:szCs w:val="23"/>
          <w:lang w:eastAsia="ru-RU"/>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6.1. Пространство для прокладки коммуникаций и размещения оборудования, обеспечивающего техническое обслуживание </w:t>
      </w:r>
      <w:r w:rsidRPr="00C72312">
        <w:rPr>
          <w:rFonts w:ascii="Helvetica" w:eastAsia="Times New Roman" w:hAnsi="Helvetica" w:cs="Helvetica"/>
          <w:b/>
          <w:bCs/>
          <w:color w:val="000000"/>
          <w:sz w:val="23"/>
          <w:szCs w:val="23"/>
          <w:lang w:eastAsia="ru-RU"/>
        </w:rPr>
        <w:t>3-х секционного 4-х этажного 90 квартирного жилого дома</w:t>
      </w:r>
      <w:r w:rsidRPr="00C72312">
        <w:rPr>
          <w:rFonts w:ascii="Helvetica" w:eastAsia="Times New Roman" w:hAnsi="Helvetica" w:cs="Helvetica"/>
          <w:color w:val="000000"/>
          <w:sz w:val="23"/>
          <w:szCs w:val="23"/>
          <w:lang w:eastAsia="ru-RU"/>
        </w:rPr>
        <w:t> (</w:t>
      </w:r>
      <w:r w:rsidRPr="00C72312">
        <w:rPr>
          <w:rFonts w:ascii="Helvetica" w:eastAsia="Times New Roman" w:hAnsi="Helvetica" w:cs="Helvetica"/>
          <w:b/>
          <w:bCs/>
          <w:color w:val="000000"/>
          <w:sz w:val="23"/>
          <w:szCs w:val="23"/>
          <w:lang w:eastAsia="ru-RU"/>
        </w:rPr>
        <w:t>Дом №24</w:t>
      </w:r>
      <w:r w:rsidRPr="00C72312">
        <w:rPr>
          <w:rFonts w:ascii="Helvetica" w:eastAsia="Times New Roman" w:hAnsi="Helvetica" w:cs="Helvetica"/>
          <w:color w:val="000000"/>
          <w:sz w:val="23"/>
          <w:szCs w:val="23"/>
          <w:lang w:eastAsia="ru-RU"/>
        </w:rPr>
        <w:t>).</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6.2. Венткамеры.</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6.3. Электрощитовые.</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6.4. Вспомогательные помещения.</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6.5. Коридоры.</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lastRenderedPageBreak/>
        <w:t>6.6. Лестничные марши и площадки.</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b/>
          <w:bCs/>
          <w:color w:val="000000"/>
          <w:sz w:val="23"/>
          <w:szCs w:val="23"/>
          <w:lang w:eastAsia="ru-RU"/>
        </w:rPr>
        <w:t>7. Предполагаемый срок получения разрешения на ввод в эксплуатацию строящегося 3-х секционного 4-х этажного 90 квартирного жилого дома</w:t>
      </w:r>
      <w:r w:rsidRPr="00C72312">
        <w:rPr>
          <w:rFonts w:ascii="Helvetica" w:eastAsia="Times New Roman" w:hAnsi="Helvetica" w:cs="Helvetica"/>
          <w:color w:val="000000"/>
          <w:sz w:val="23"/>
          <w:szCs w:val="23"/>
          <w:lang w:eastAsia="ru-RU"/>
        </w:rPr>
        <w:t> (</w:t>
      </w:r>
      <w:r w:rsidRPr="00C72312">
        <w:rPr>
          <w:rFonts w:ascii="Helvetica" w:eastAsia="Times New Roman" w:hAnsi="Helvetica" w:cs="Helvetica"/>
          <w:b/>
          <w:bCs/>
          <w:color w:val="000000"/>
          <w:sz w:val="23"/>
          <w:szCs w:val="23"/>
          <w:lang w:eastAsia="ru-RU"/>
        </w:rPr>
        <w:t>Дом №24</w:t>
      </w:r>
      <w:r w:rsidRPr="00C72312">
        <w:rPr>
          <w:rFonts w:ascii="Helvetica" w:eastAsia="Times New Roman" w:hAnsi="Helvetica" w:cs="Helvetica"/>
          <w:color w:val="000000"/>
          <w:sz w:val="23"/>
          <w:szCs w:val="23"/>
          <w:lang w:eastAsia="ru-RU"/>
        </w:rPr>
        <w:t>)</w:t>
      </w:r>
      <w:r w:rsidRPr="00C72312">
        <w:rPr>
          <w:rFonts w:ascii="Helvetica" w:eastAsia="Times New Roman" w:hAnsi="Helvetica" w:cs="Helvetica"/>
          <w:b/>
          <w:bCs/>
          <w:color w:val="000000"/>
          <w:sz w:val="23"/>
          <w:szCs w:val="23"/>
          <w:lang w:eastAsia="ru-RU"/>
        </w:rPr>
        <w:t>:</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30.06.2018 г.</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Разрешение на ввод в эксплуатацию выдается Министерством строительного комплекса Московской области.</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b/>
          <w:bCs/>
          <w:color w:val="000000"/>
          <w:sz w:val="23"/>
          <w:szCs w:val="23"/>
          <w:lang w:eastAsia="ru-RU"/>
        </w:rPr>
        <w:t>8. Перечень органов государственной власти, органов местного самоуправления и организаций, представители которых участвуют в приемке 3-х секционного 4-х этажного 90 квартирного жилого дома</w:t>
      </w:r>
      <w:r w:rsidRPr="00C72312">
        <w:rPr>
          <w:rFonts w:ascii="Helvetica" w:eastAsia="Times New Roman" w:hAnsi="Helvetica" w:cs="Helvetica"/>
          <w:color w:val="000000"/>
          <w:sz w:val="23"/>
          <w:szCs w:val="23"/>
          <w:lang w:eastAsia="ru-RU"/>
        </w:rPr>
        <w:t> (</w:t>
      </w:r>
      <w:r w:rsidRPr="00C72312">
        <w:rPr>
          <w:rFonts w:ascii="Helvetica" w:eastAsia="Times New Roman" w:hAnsi="Helvetica" w:cs="Helvetica"/>
          <w:b/>
          <w:bCs/>
          <w:color w:val="000000"/>
          <w:sz w:val="23"/>
          <w:szCs w:val="23"/>
          <w:lang w:eastAsia="ru-RU"/>
        </w:rPr>
        <w:t>Дом №24</w:t>
      </w:r>
      <w:r w:rsidRPr="00C72312">
        <w:rPr>
          <w:rFonts w:ascii="Helvetica" w:eastAsia="Times New Roman" w:hAnsi="Helvetica" w:cs="Helvetica"/>
          <w:color w:val="000000"/>
          <w:sz w:val="23"/>
          <w:szCs w:val="23"/>
          <w:lang w:eastAsia="ru-RU"/>
        </w:rPr>
        <w:t>)</w:t>
      </w:r>
      <w:r w:rsidRPr="00C72312">
        <w:rPr>
          <w:rFonts w:ascii="Helvetica" w:eastAsia="Times New Roman" w:hAnsi="Helvetica" w:cs="Helvetica"/>
          <w:b/>
          <w:bCs/>
          <w:color w:val="000000"/>
          <w:sz w:val="23"/>
          <w:szCs w:val="23"/>
          <w:lang w:eastAsia="ru-RU"/>
        </w:rPr>
        <w:t>:</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 Администрация Истринского муниципального района</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 Главное управление архитектуры и градостроительства МО и другие.</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b/>
          <w:bCs/>
          <w:color w:val="000000"/>
          <w:sz w:val="23"/>
          <w:szCs w:val="23"/>
          <w:lang w:eastAsia="ru-RU"/>
        </w:rPr>
        <w:t>9. Возможные финансовые и прочие риски при осуществлении проекта строительства и ориентировочная стоимость строительства:</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 возможное повышение цен на строительные материалы и субподрядные работы;</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 ориентировочная стоимость строительства </w:t>
      </w:r>
      <w:r w:rsidRPr="00C72312">
        <w:rPr>
          <w:rFonts w:ascii="Helvetica" w:eastAsia="Times New Roman" w:hAnsi="Helvetica" w:cs="Helvetica"/>
          <w:b/>
          <w:bCs/>
          <w:color w:val="000000"/>
          <w:sz w:val="23"/>
          <w:szCs w:val="23"/>
          <w:lang w:eastAsia="ru-RU"/>
        </w:rPr>
        <w:t>179`024`000 (Сто семьдесят девять миллионов двадцать четыре тысячи) рублей.</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b/>
          <w:bCs/>
          <w:color w:val="000000"/>
          <w:sz w:val="23"/>
          <w:szCs w:val="23"/>
          <w:lang w:eastAsia="ru-RU"/>
        </w:rPr>
        <w:t>Сведения о договорах, на основании которых привлекаются денежные средства для строительства 3-х секционного 4-х этажного 90 квартирного жилого дома</w:t>
      </w:r>
      <w:r w:rsidRPr="00C72312">
        <w:rPr>
          <w:rFonts w:ascii="Helvetica" w:eastAsia="Times New Roman" w:hAnsi="Helvetica" w:cs="Helvetica"/>
          <w:color w:val="000000"/>
          <w:sz w:val="23"/>
          <w:szCs w:val="23"/>
          <w:lang w:eastAsia="ru-RU"/>
        </w:rPr>
        <w:t> (</w:t>
      </w:r>
      <w:r w:rsidRPr="00C72312">
        <w:rPr>
          <w:rFonts w:ascii="Helvetica" w:eastAsia="Times New Roman" w:hAnsi="Helvetica" w:cs="Helvetica"/>
          <w:b/>
          <w:bCs/>
          <w:color w:val="000000"/>
          <w:sz w:val="23"/>
          <w:szCs w:val="23"/>
          <w:lang w:eastAsia="ru-RU"/>
        </w:rPr>
        <w:t>Дом №24</w:t>
      </w:r>
      <w:r w:rsidRPr="00C72312">
        <w:rPr>
          <w:rFonts w:ascii="Helvetica" w:eastAsia="Times New Roman" w:hAnsi="Helvetica" w:cs="Helvetica"/>
          <w:color w:val="000000"/>
          <w:sz w:val="23"/>
          <w:szCs w:val="23"/>
          <w:lang w:eastAsia="ru-RU"/>
        </w:rPr>
        <w:t>)</w:t>
      </w:r>
      <w:r w:rsidRPr="00C72312">
        <w:rPr>
          <w:rFonts w:ascii="Helvetica" w:eastAsia="Times New Roman" w:hAnsi="Helvetica" w:cs="Helvetica"/>
          <w:b/>
          <w:bCs/>
          <w:color w:val="000000"/>
          <w:sz w:val="23"/>
          <w:szCs w:val="23"/>
          <w:lang w:eastAsia="ru-RU"/>
        </w:rPr>
        <w:t>, за исключением привлечения денежных средств на основании договоров участия в долевом строительстве:</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Денежные средства на строительство </w:t>
      </w:r>
      <w:r w:rsidRPr="00C72312">
        <w:rPr>
          <w:rFonts w:ascii="Helvetica" w:eastAsia="Times New Roman" w:hAnsi="Helvetica" w:cs="Helvetica"/>
          <w:b/>
          <w:bCs/>
          <w:color w:val="000000"/>
          <w:sz w:val="23"/>
          <w:szCs w:val="23"/>
          <w:lang w:eastAsia="ru-RU"/>
        </w:rPr>
        <w:t>3-х секционного 4-х этажного 90 квартирного жилого дома</w:t>
      </w:r>
      <w:r w:rsidRPr="00C72312">
        <w:rPr>
          <w:rFonts w:ascii="Helvetica" w:eastAsia="Times New Roman" w:hAnsi="Helvetica" w:cs="Helvetica"/>
          <w:color w:val="000000"/>
          <w:sz w:val="23"/>
          <w:szCs w:val="23"/>
          <w:lang w:eastAsia="ru-RU"/>
        </w:rPr>
        <w:t> (</w:t>
      </w:r>
      <w:r w:rsidRPr="00C72312">
        <w:rPr>
          <w:rFonts w:ascii="Helvetica" w:eastAsia="Times New Roman" w:hAnsi="Helvetica" w:cs="Helvetica"/>
          <w:b/>
          <w:bCs/>
          <w:color w:val="000000"/>
          <w:sz w:val="23"/>
          <w:szCs w:val="23"/>
          <w:lang w:eastAsia="ru-RU"/>
        </w:rPr>
        <w:t>Дом №24</w:t>
      </w:r>
      <w:r w:rsidRPr="00C72312">
        <w:rPr>
          <w:rFonts w:ascii="Helvetica" w:eastAsia="Times New Roman" w:hAnsi="Helvetica" w:cs="Helvetica"/>
          <w:color w:val="000000"/>
          <w:sz w:val="23"/>
          <w:szCs w:val="23"/>
          <w:lang w:eastAsia="ru-RU"/>
        </w:rPr>
        <w:t>) привлекаются по договорам участия в долевом строительстве.</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b/>
          <w:bCs/>
          <w:color w:val="000000"/>
          <w:sz w:val="23"/>
          <w:szCs w:val="23"/>
          <w:lang w:eastAsia="ru-RU"/>
        </w:rPr>
        <w:t>Меры по добровольному страхованию Застройщиком таких рисков не принимались.</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b/>
          <w:bCs/>
          <w:color w:val="000000"/>
          <w:sz w:val="23"/>
          <w:szCs w:val="23"/>
          <w:lang w:eastAsia="ru-RU"/>
        </w:rPr>
        <w:t>10. Перечень организаций, осуществляющих основные строительно-монтажные и другие работы:</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Генеральный подрядчик:</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Общество с ограниченной ответственностью «ТехСтрой-СК»,</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115230, город Москва, Электролитный проезд, д.3, стр.12, офис 1, ИНН 7726712547,</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b/>
          <w:bCs/>
          <w:color w:val="000000"/>
          <w:sz w:val="23"/>
          <w:szCs w:val="23"/>
          <w:lang w:eastAsia="ru-RU"/>
        </w:rPr>
        <w:t>11. Способ обеспечения исполнения обязательств Застройщика по договору:</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lastRenderedPageBreak/>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C72312" w:rsidRPr="00C72312" w:rsidRDefault="00C72312" w:rsidP="00C72312">
      <w:pPr>
        <w:shd w:val="clear" w:color="auto" w:fill="FFFFFF"/>
        <w:spacing w:after="225"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Сведения о страховой организации:</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Общество с ограниченной ответственностью «Региональная страховая компания» - ОГРН 1021801434643</w:t>
      </w:r>
      <w:r w:rsidRPr="00C72312">
        <w:rPr>
          <w:rFonts w:ascii="Helvetica" w:eastAsia="Times New Roman" w:hAnsi="Helvetica" w:cs="Helvetica"/>
          <w:color w:val="000000"/>
          <w:sz w:val="23"/>
          <w:szCs w:val="23"/>
          <w:lang w:eastAsia="ru-RU"/>
        </w:rPr>
        <w:br/>
        <w:t>Лицензия на осуществление страховой деятельности СИ №0072 от 17 июля 2015 г.</w:t>
      </w:r>
      <w:r w:rsidRPr="00C72312">
        <w:rPr>
          <w:rFonts w:ascii="Helvetica" w:eastAsia="Times New Roman" w:hAnsi="Helvetica" w:cs="Helvetica"/>
          <w:color w:val="000000"/>
          <w:sz w:val="23"/>
          <w:szCs w:val="23"/>
          <w:lang w:eastAsia="ru-RU"/>
        </w:rPr>
        <w:br/>
        <w:t>Сведения о договоре страхования:</w:t>
      </w:r>
      <w:r w:rsidRPr="00C72312">
        <w:rPr>
          <w:rFonts w:ascii="Helvetica" w:eastAsia="Times New Roman" w:hAnsi="Helvetica" w:cs="Helvetica"/>
          <w:color w:val="000000"/>
          <w:sz w:val="23"/>
          <w:szCs w:val="23"/>
          <w:lang w:eastAsia="ru-RU"/>
        </w:rPr>
        <w:br/>
        <w:t>Договор №  35-14274/2015 от «07» декабря 2015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C72312">
        <w:rPr>
          <w:rFonts w:ascii="Helvetica" w:eastAsia="Times New Roman" w:hAnsi="Helvetica" w:cs="Helvetica"/>
          <w:color w:val="000000"/>
          <w:sz w:val="23"/>
          <w:szCs w:val="23"/>
          <w:lang w:eastAsia="ru-RU"/>
        </w:rPr>
        <w:br/>
        <w:t>Сведения об условиях страхования: Условия страхования определяются Правилами страхования, принятыми и утвержденными Страховщиком.</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color w:val="000000"/>
          <w:sz w:val="23"/>
          <w:szCs w:val="23"/>
          <w:lang w:eastAsia="ru-RU"/>
        </w:rPr>
        <w:t>Общество с ограниченной ответственностью «ПРОМИНСТРАХ» - ОГРН 1027700355935</w:t>
      </w:r>
      <w:r w:rsidRPr="00C72312">
        <w:rPr>
          <w:rFonts w:ascii="Helvetica" w:eastAsia="Times New Roman" w:hAnsi="Helvetica" w:cs="Helvetica"/>
          <w:color w:val="000000"/>
          <w:sz w:val="23"/>
          <w:szCs w:val="23"/>
          <w:lang w:eastAsia="ru-RU"/>
        </w:rPr>
        <w:br/>
        <w:t>Лицензия на осуществление страховой деятельности СИ №3438 от 22.08.2016 г. </w:t>
      </w:r>
      <w:r w:rsidRPr="00C72312">
        <w:rPr>
          <w:rFonts w:ascii="Helvetica" w:eastAsia="Times New Roman" w:hAnsi="Helvetica" w:cs="Helvetica"/>
          <w:color w:val="000000"/>
          <w:sz w:val="23"/>
          <w:szCs w:val="23"/>
          <w:lang w:eastAsia="ru-RU"/>
        </w:rPr>
        <w:br/>
        <w:t>Сведения о договоре страхования: </w:t>
      </w:r>
      <w:r w:rsidRPr="00C72312">
        <w:rPr>
          <w:rFonts w:ascii="Helvetica" w:eastAsia="Times New Roman" w:hAnsi="Helvetica" w:cs="Helvetica"/>
          <w:color w:val="000000"/>
          <w:sz w:val="23"/>
          <w:szCs w:val="23"/>
          <w:lang w:eastAsia="ru-RU"/>
        </w:rPr>
        <w:br/>
        <w:t>Договор № 35-14237/2015  от «07» апреля  2017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C72312">
        <w:rPr>
          <w:rFonts w:ascii="Helvetica" w:eastAsia="Times New Roman" w:hAnsi="Helvetica" w:cs="Helvetica"/>
          <w:color w:val="000000"/>
          <w:sz w:val="23"/>
          <w:szCs w:val="23"/>
          <w:lang w:eastAsia="ru-RU"/>
        </w:rPr>
        <w:br/>
        <w:t>Сведения об условиях страхования: Условия страхования определяются Правилами страхования, принятыми и утвержденными Страховщиком.</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b/>
          <w:bCs/>
          <w:color w:val="000000"/>
          <w:sz w:val="23"/>
          <w:szCs w:val="23"/>
          <w:lang w:eastAsia="ru-RU"/>
        </w:rPr>
        <w:t>12. </w:t>
      </w:r>
      <w:r w:rsidRPr="00C72312">
        <w:rPr>
          <w:rFonts w:ascii="Helvetica" w:eastAsia="Times New Roman" w:hAnsi="Helvetica" w:cs="Helvetica"/>
          <w:color w:val="000000"/>
          <w:sz w:val="23"/>
          <w:szCs w:val="23"/>
          <w:lang w:eastAsia="ru-RU"/>
        </w:rPr>
        <w:t>Иные договоры и сделки, на основании которых привлекаются денежные средства для строительства </w:t>
      </w:r>
      <w:r w:rsidRPr="00C72312">
        <w:rPr>
          <w:rFonts w:ascii="Helvetica" w:eastAsia="Times New Roman" w:hAnsi="Helvetica" w:cs="Helvetica"/>
          <w:b/>
          <w:bCs/>
          <w:color w:val="000000"/>
          <w:sz w:val="23"/>
          <w:szCs w:val="23"/>
          <w:lang w:eastAsia="ru-RU"/>
        </w:rPr>
        <w:t>3-х секционного 4-х этажного 90 квартирного жилого дома</w:t>
      </w:r>
      <w:r w:rsidRPr="00C72312">
        <w:rPr>
          <w:rFonts w:ascii="Helvetica" w:eastAsia="Times New Roman" w:hAnsi="Helvetica" w:cs="Helvetica"/>
          <w:color w:val="000000"/>
          <w:sz w:val="23"/>
          <w:szCs w:val="23"/>
          <w:lang w:eastAsia="ru-RU"/>
        </w:rPr>
        <w:t> (</w:t>
      </w:r>
      <w:r w:rsidRPr="00C72312">
        <w:rPr>
          <w:rFonts w:ascii="Helvetica" w:eastAsia="Times New Roman" w:hAnsi="Helvetica" w:cs="Helvetica"/>
          <w:b/>
          <w:bCs/>
          <w:color w:val="000000"/>
          <w:sz w:val="23"/>
          <w:szCs w:val="23"/>
          <w:lang w:eastAsia="ru-RU"/>
        </w:rPr>
        <w:t>Дом №24</w:t>
      </w:r>
      <w:r w:rsidRPr="00C72312">
        <w:rPr>
          <w:rFonts w:ascii="Helvetica" w:eastAsia="Times New Roman" w:hAnsi="Helvetica" w:cs="Helvetica"/>
          <w:color w:val="000000"/>
          <w:sz w:val="23"/>
          <w:szCs w:val="23"/>
          <w:lang w:eastAsia="ru-RU"/>
        </w:rPr>
        <w:t>) 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b/>
          <w:bCs/>
          <w:color w:val="000000"/>
          <w:sz w:val="23"/>
          <w:szCs w:val="23"/>
          <w:lang w:eastAsia="ru-RU"/>
        </w:rPr>
        <w:t>Генеральный директор</w:t>
      </w:r>
    </w:p>
    <w:p w:rsidR="00C72312" w:rsidRPr="00C72312" w:rsidRDefault="00C72312" w:rsidP="00C72312">
      <w:pPr>
        <w:shd w:val="clear" w:color="auto" w:fill="FFFFFF"/>
        <w:spacing w:after="0" w:line="240" w:lineRule="auto"/>
        <w:rPr>
          <w:rFonts w:ascii="Helvetica" w:eastAsia="Times New Roman" w:hAnsi="Helvetica" w:cs="Helvetica"/>
          <w:color w:val="000000"/>
          <w:sz w:val="23"/>
          <w:szCs w:val="23"/>
          <w:lang w:eastAsia="ru-RU"/>
        </w:rPr>
      </w:pPr>
      <w:r w:rsidRPr="00C72312">
        <w:rPr>
          <w:rFonts w:ascii="Helvetica" w:eastAsia="Times New Roman" w:hAnsi="Helvetica" w:cs="Helvetica"/>
          <w:b/>
          <w:bCs/>
          <w:color w:val="000000"/>
          <w:sz w:val="23"/>
          <w:szCs w:val="23"/>
          <w:lang w:eastAsia="ru-RU"/>
        </w:rPr>
        <w:t>ООО «КОМПАНИЯ ПРОМСЕРВИС» /Челидзе Э.Д./</w:t>
      </w:r>
    </w:p>
    <w:p w:rsidR="004220BB" w:rsidRDefault="004220BB">
      <w:bookmarkStart w:id="0" w:name="_GoBack"/>
      <w:bookmarkEnd w:id="0"/>
    </w:p>
    <w:sectPr w:rsidR="004220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BE"/>
    <w:rsid w:val="004220BB"/>
    <w:rsid w:val="008312BE"/>
    <w:rsid w:val="00C72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64B2E-1834-4414-B287-F38F81D6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23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72312"/>
    <w:rPr>
      <w:i/>
      <w:iCs/>
    </w:rPr>
  </w:style>
  <w:style w:type="character" w:styleId="a5">
    <w:name w:val="Strong"/>
    <w:basedOn w:val="a0"/>
    <w:uiPriority w:val="22"/>
    <w:qFormat/>
    <w:rsid w:val="00C723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93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2791</Words>
  <Characters>15914</Characters>
  <Application>Microsoft Office Word</Application>
  <DocSecurity>0</DocSecurity>
  <Lines>132</Lines>
  <Paragraphs>37</Paragraphs>
  <ScaleCrop>false</ScaleCrop>
  <Company>SPecialiST RePack</Company>
  <LinksUpToDate>false</LinksUpToDate>
  <CharactersWithSpaces>18668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Белова</dc:creator>
  <cp:keywords/>
  <dc:description/>
  <cp:lastModifiedBy>Наталья Белова</cp:lastModifiedBy>
  <cp:revision>3</cp:revision>
  <dcterms:created xsi:type="dcterms:W3CDTF">2018-03-23T14:58:00Z</dcterms:created>
  <dcterms:modified xsi:type="dcterms:W3CDTF">2018-03-23T14:58:00Z</dcterms:modified>
</cp:coreProperties>
</file>